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Gagnef kommunfullmäktige</w:t>
      </w:r>
    </w:p>
    <w:p>
      <w:pPr>
        <w:pStyle w:val="Heading1"/>
      </w:pPr>
      <w:r>
        <w:t xml:space="preserve">Fler hyresrätter för unga och nyanlända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Gagnef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Bostadsbristen är stor i Gagnef. Endast 12 nya hyresrätter byggdes 2023–2025 (kommunens bostadsförsörjningsplan). Unga och nyanlända har svårt att etablera sig.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Gagnef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ge Gagnefhus i uppdrag att bygga 40 nya hyresrätter till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införa kommunal hyresgaranti för unga.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prioritera socialt blandade områden.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avsätta mark för byggande i Mockfjärd.</w:t>
      </w:r>
    </w:p>
    <w:p>
      <w:pPr>
        <w:spacing w:before="360"/>
      </w:pPr>
    </w:p>
    <w:p>
      <w:r>
        <w:t xml:space="preserve">Gagnef,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Gagnef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2026-07-13T23:58:09.128Z</dcterms:created>
  <dcterms:modified xsi:type="dcterms:W3CDTF">2026-07-13T23:58:09.128Z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